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C2A98" w:rsidRDefault="000C3E97">
      <w:pPr>
        <w:rPr>
          <w:rFonts w:ascii="Calibri" w:hAnsi="Calibri" w:cstheme="majorHAnsi"/>
        </w:rPr>
      </w:pPr>
      <w:r w:rsidRPr="000C3E97">
        <w:rPr>
          <w:rFonts w:ascii="Calibri" w:hAnsi="Calibri" w:cstheme="maj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6B11C9B">
                <wp:simplePos x="0" y="0"/>
                <wp:positionH relativeFrom="column">
                  <wp:posOffset>4419600</wp:posOffset>
                </wp:positionH>
                <wp:positionV relativeFrom="paragraph">
                  <wp:posOffset>3011805</wp:posOffset>
                </wp:positionV>
                <wp:extent cx="1247775" cy="14039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140398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3E97" w:rsidRPr="000C3E97" w:rsidRDefault="000C3E97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C3E97">
                              <w:rPr>
                                <w:rFonts w:asciiTheme="majorHAnsi" w:hAnsiTheme="majorHAnsi" w:cstheme="majorHAnsi"/>
                              </w:rPr>
                              <w:t># of Threads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8pt;margin-top:237.15pt;width:98.2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CgrRwIAAMEEAAAOAAAAZHJzL2Uyb0RvYy54bWysVF1v0zAUfUfiP1h+p0mzlm5R02l0FCGN&#10;D7HxA1zHbqw5vsb2mpRfz7XTZgWkPSBerOv4nnPP/cryum812QvnFZiKTic5JcJwqJXZVfT7w+bN&#10;JSU+MFMzDUZU9CA8vV69frXsbCkKaEDXwhEkMb7sbEWbEGyZZZ43omV+AlYYfJTgWhbw6nZZ7ViH&#10;7K3Oijx/m3XgauuAC+/x6+3wSFeJX0rBwxcpvQhEVxS1hXS6dG7jma2WrNw5ZhvFjzLYP6homTIY&#10;dKS6ZYGRJ6f+omoVd+BBhgmHNgMpFRcpB8xmmv+RzX3DrEi5YHG8Hcvk/x8t/7z/6oiqK3qRLygx&#10;rMUmPYg+kHfQkyLWp7O+RLd7i46hx8/Y55Srt3fAHz0xsG6Y2Ykb56BrBKtR3zQiszPowOMjybb7&#10;BDWGYU8BElEvXRuLh+UgyI59Ooy9iVJ4DFnMFovFnBKOb9NZfnF1OU8xWHmCW+fDBwEtiUZFHTY/&#10;0bP9nQ9RDitPLjGaNvE0sFFapzGI0t+bOtmBKT3YiIqeKZco/5hIOGgxsHwTEguIEouhKnF0xVo7&#10;smc4dPXjUIrIgp4RIjHgCDqW8neQDifQ0TfCRBrnEZi/HG30ThHBhBHYKgPuZbAc/E9ZD7nGZoZ+&#10;22N9ormF+oDNdDDsFP4D0GjA/aSkw32qqP/xxJygRH80OBBX09ksLmC6zOaLAi/u/GV7/sIMR6qK&#10;BkoGcx3S0sZkvL3Bwdmo1NJnJUexuCep08edjot4fk9ez3+e1S8AAAD//wMAUEsDBBQABgAIAAAA&#10;IQBfKhfC3wAAAAsBAAAPAAAAZHJzL2Rvd25yZXYueG1sTI/NboMwEITvlfIO1kbqpWpMKNBAMVGE&#10;lF56StoHMHgDqHiNsPnp29c5tcfRjGa+yY+r7tmMo+0MCdjvAmBItVEdNQK+Ps/PB2DWSVKyN4QC&#10;ftDCsdg85DJTZqELzlfXMF9CNpMCWueGjHNbt6il3ZkByXs3M2rpvBwbrka5+HLd8zAIEq5lR36h&#10;lQOWLdbf10kLsN30kbzPGK5ppePqtpTnJ1sK8bhdT2/AHK7uLwx3fI8OhWeqzETKsl5Akib+ixMQ&#10;vUYvwHzikIYxsOpuxRHwIuf/PxS/AAAA//8DAFBLAQItABQABgAIAAAAIQC2gziS/gAAAOEBAAAT&#10;AAAAAAAAAAAAAAAAAAAAAABbQ29udGVudF9UeXBlc10ueG1sUEsBAi0AFAAGAAgAAAAhADj9If/W&#10;AAAAlAEAAAsAAAAAAAAAAAAAAAAALwEAAF9yZWxzLy5yZWxzUEsBAi0AFAAGAAgAAAAhABDoKCtH&#10;AgAAwQQAAA4AAAAAAAAAAAAAAAAALgIAAGRycy9lMm9Eb2MueG1sUEsBAi0AFAAGAAgAAAAhAF8q&#10;F8LfAAAACwEAAA8AAAAAAAAAAAAAAAAAoQQAAGRycy9kb3ducmV2LnhtbFBLBQYAAAAABAAEAPMA&#10;AACtBQAAAAA=&#10;" fillcolor="white [3201]" stroked="f" strokeweight="1.5pt">
                <v:textbox style="mso-fit-shape-to-text:t">
                  <w:txbxContent>
                    <w:p w:rsidR="000C3E97" w:rsidRPr="000C3E97" w:rsidRDefault="000C3E97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0C3E97">
                        <w:rPr>
                          <w:rFonts w:asciiTheme="majorHAnsi" w:hAnsiTheme="majorHAnsi" w:cstheme="majorHAnsi"/>
                        </w:rPr>
                        <w:t># of Threads</w:t>
                      </w:r>
                    </w:p>
                  </w:txbxContent>
                </v:textbox>
              </v:shape>
            </w:pict>
          </mc:Fallback>
        </mc:AlternateContent>
      </w:r>
      <w:r w:rsidR="006D5179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848350" cy="3291840"/>
            <wp:effectExtent l="0" t="0" r="19050" b="2286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V relativeFrom="margin">
              <wp14:pctHeight>0</wp14:pctHeight>
            </wp14:sizeRelV>
          </wp:anchor>
        </w:drawing>
      </w:r>
      <w:r>
        <w:br w:type="textWrapping" w:clear="all"/>
      </w:r>
      <w:r w:rsidR="009819EB">
        <w:rPr>
          <w:rFonts w:ascii="Calibri" w:hAnsi="Calibri" w:cstheme="majorHAnsi"/>
          <w:noProof/>
        </w:rPr>
        <w:drawing>
          <wp:inline distT="0" distB="0" distL="0" distR="0">
            <wp:extent cx="5852160" cy="3200400"/>
            <wp:effectExtent l="0" t="0" r="15240" b="1905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C2A98" w:rsidRDefault="007C2A98" w:rsidP="007C2A98">
      <w:pPr>
        <w:rPr>
          <w:rFonts w:ascii="Calibri" w:hAnsi="Calibri" w:cstheme="majorHAnsi"/>
        </w:rPr>
      </w:pPr>
    </w:p>
    <w:p w:rsidR="0032236F" w:rsidRDefault="006E6A47" w:rsidP="0032236F">
      <w:pPr>
        <w:ind w:firstLine="720"/>
        <w:rPr>
          <w:rFonts w:ascii="Calibri" w:hAnsi="Calibri" w:cstheme="majorHAnsi"/>
        </w:rPr>
      </w:pPr>
      <w:r>
        <w:rPr>
          <w:rFonts w:ascii="Calibri" w:hAnsi="Calibri" w:cstheme="majorHAnsi"/>
        </w:rPr>
        <w:t xml:space="preserve">Using a </w:t>
      </w:r>
      <w:r w:rsidR="00800A78">
        <w:rPr>
          <w:rFonts w:ascii="Calibri" w:hAnsi="Calibri" w:cstheme="majorHAnsi"/>
        </w:rPr>
        <w:t>seed</w:t>
      </w:r>
      <w:r>
        <w:rPr>
          <w:rFonts w:ascii="Calibri" w:hAnsi="Calibri" w:cstheme="majorHAnsi"/>
        </w:rPr>
        <w:t xml:space="preserve"> of 42</w:t>
      </w:r>
      <w:r w:rsidR="00800A78">
        <w:rPr>
          <w:rFonts w:ascii="Calibri" w:hAnsi="Calibri" w:cstheme="majorHAnsi"/>
        </w:rPr>
        <w:t xml:space="preserve"> and varying the number of processing threads and parallel recursion depth</w:t>
      </w:r>
      <w:r>
        <w:rPr>
          <w:rFonts w:ascii="Calibri" w:hAnsi="Calibri" w:cstheme="majorHAnsi"/>
        </w:rPr>
        <w:t xml:space="preserve">, the time for running quicksort on 300,000,000 integers was benchmarked. </w:t>
      </w:r>
      <w:r w:rsidR="00800A78">
        <w:rPr>
          <w:rFonts w:ascii="Calibri" w:hAnsi="Calibri" w:cstheme="majorHAnsi"/>
        </w:rPr>
        <w:t xml:space="preserve">Once the optimal parallel recursion depth was found, the percent speed-up in comparison to a serial sort was calculated. </w:t>
      </w:r>
    </w:p>
    <w:p w:rsidR="00800A78" w:rsidRPr="007C2A98" w:rsidRDefault="00800A78" w:rsidP="0032236F">
      <w:pPr>
        <w:ind w:firstLine="720"/>
        <w:rPr>
          <w:rFonts w:ascii="Calibri" w:hAnsi="Calibri" w:cstheme="majorHAnsi"/>
        </w:rPr>
      </w:pPr>
      <w:r>
        <w:rPr>
          <w:rFonts w:ascii="Calibri" w:hAnsi="Calibri" w:cstheme="majorHAnsi"/>
        </w:rPr>
        <w:t xml:space="preserve">As the results show, quicksort scales decently well on multicore machines up to a certain number of processing threads. The rlogin machines each use </w:t>
      </w:r>
      <w:r w:rsidRPr="00800A78">
        <w:rPr>
          <w:rFonts w:ascii="Calibri" w:hAnsi="Calibri" w:cstheme="majorHAnsi"/>
        </w:rPr>
        <w:t>2x Intel Xeon x5647 quad core</w:t>
      </w:r>
      <w:r>
        <w:rPr>
          <w:rFonts w:ascii="Calibri" w:hAnsi="Calibri" w:cstheme="majorHAnsi"/>
        </w:rPr>
        <w:t xml:space="preserve"> processors, thus 8 cores are </w:t>
      </w:r>
      <w:r w:rsidR="0032236F">
        <w:rPr>
          <w:rFonts w:ascii="Calibri" w:hAnsi="Calibri" w:cstheme="majorHAnsi"/>
        </w:rPr>
        <w:t>available</w:t>
      </w:r>
      <w:r>
        <w:rPr>
          <w:rFonts w:ascii="Calibri" w:hAnsi="Calibri" w:cstheme="majorHAnsi"/>
        </w:rPr>
        <w:t xml:space="preserve"> for </w:t>
      </w:r>
      <w:r w:rsidR="0032236F">
        <w:rPr>
          <w:rFonts w:ascii="Calibri" w:hAnsi="Calibri" w:cstheme="majorHAnsi"/>
        </w:rPr>
        <w:t>data processing. As the % speed-</w:t>
      </w:r>
      <w:r>
        <w:rPr>
          <w:rFonts w:ascii="Calibri" w:hAnsi="Calibri" w:cstheme="majorHAnsi"/>
        </w:rPr>
        <w:t xml:space="preserve">up shows, the </w:t>
      </w:r>
      <w:r w:rsidR="0032236F">
        <w:rPr>
          <w:rFonts w:ascii="Calibri" w:hAnsi="Calibri" w:cstheme="majorHAnsi"/>
        </w:rPr>
        <w:t xml:space="preserve">increase in computational speed starts to slow down at around 8 threads. </w:t>
      </w:r>
    </w:p>
    <w:sectPr w:rsidR="00800A78" w:rsidRPr="007C2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179"/>
    <w:rsid w:val="000C3E97"/>
    <w:rsid w:val="0032236F"/>
    <w:rsid w:val="005867D2"/>
    <w:rsid w:val="006D5179"/>
    <w:rsid w:val="006E6A47"/>
    <w:rsid w:val="007C2A98"/>
    <w:rsid w:val="00800A78"/>
    <w:rsid w:val="009819EB"/>
    <w:rsid w:val="00A27E3D"/>
    <w:rsid w:val="00A867EC"/>
    <w:rsid w:val="00AD2894"/>
    <w:rsid w:val="00CF0D72"/>
    <w:rsid w:val="00D5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1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17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6D5179"/>
    <w:pPr>
      <w:spacing w:after="200"/>
    </w:pPr>
    <w:rPr>
      <w:b/>
      <w:bCs/>
      <w:color w:val="7FD13B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1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17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6D5179"/>
    <w:pPr>
      <w:spacing w:after="200"/>
    </w:pPr>
    <w:rPr>
      <w:b/>
      <w:bCs/>
      <w:color w:val="7FD13B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Time to Run Quicksort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1</c:v>
                </c:pt>
              </c:strCache>
            </c:strRef>
          </c:tx>
          <c:marker>
            <c:symbol val="none"/>
          </c:marker>
          <c:cat>
            <c:numRef>
              <c:f>Sheet1!$A$2:$A$18</c:f>
              <c:numCache>
                <c:formatCode>General</c:formatCode>
                <c:ptCount val="1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</c:numCache>
            </c:numRef>
          </c:cat>
          <c:val>
            <c:numRef>
              <c:f>Sheet1!$B$2:$B$18</c:f>
              <c:numCache>
                <c:formatCode>General</c:formatCode>
                <c:ptCount val="17"/>
                <c:pt idx="0">
                  <c:v>43.332999999999998</c:v>
                </c:pt>
                <c:pt idx="1">
                  <c:v>43.371000000000002</c:v>
                </c:pt>
                <c:pt idx="2">
                  <c:v>43.414999999999999</c:v>
                </c:pt>
                <c:pt idx="3">
                  <c:v>43.347000000000001</c:v>
                </c:pt>
                <c:pt idx="4">
                  <c:v>43.332000000000001</c:v>
                </c:pt>
                <c:pt idx="5">
                  <c:v>43.375999999999998</c:v>
                </c:pt>
                <c:pt idx="6">
                  <c:v>43.341999999999999</c:v>
                </c:pt>
                <c:pt idx="7">
                  <c:v>43.335000000000001</c:v>
                </c:pt>
                <c:pt idx="8">
                  <c:v>43.491999999999997</c:v>
                </c:pt>
                <c:pt idx="9">
                  <c:v>43.424999999999997</c:v>
                </c:pt>
                <c:pt idx="10">
                  <c:v>43.604999999999997</c:v>
                </c:pt>
                <c:pt idx="11">
                  <c:v>43.688000000000002</c:v>
                </c:pt>
                <c:pt idx="12">
                  <c:v>44.008000000000003</c:v>
                </c:pt>
                <c:pt idx="13">
                  <c:v>45.127000000000002</c:v>
                </c:pt>
                <c:pt idx="14">
                  <c:v>49.348999999999997</c:v>
                </c:pt>
                <c:pt idx="15">
                  <c:v>63.771000000000001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</c:v>
                </c:pt>
              </c:strCache>
            </c:strRef>
          </c:tx>
          <c:marker>
            <c:symbol val="none"/>
          </c:marker>
          <c:cat>
            <c:numRef>
              <c:f>Sheet1!$A$2:$A$18</c:f>
              <c:numCache>
                <c:formatCode>General</c:formatCode>
                <c:ptCount val="1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</c:numCache>
            </c:numRef>
          </c:cat>
          <c:val>
            <c:numRef>
              <c:f>Sheet1!$C$2:$C$18</c:f>
              <c:numCache>
                <c:formatCode>General</c:formatCode>
                <c:ptCount val="17"/>
                <c:pt idx="0">
                  <c:v>37.442999999999998</c:v>
                </c:pt>
                <c:pt idx="1">
                  <c:v>37.960999999999999</c:v>
                </c:pt>
                <c:pt idx="2">
                  <c:v>26.687000000000001</c:v>
                </c:pt>
                <c:pt idx="3">
                  <c:v>26.861999999999998</c:v>
                </c:pt>
                <c:pt idx="4">
                  <c:v>26.323</c:v>
                </c:pt>
                <c:pt idx="5">
                  <c:v>24.899000000000001</c:v>
                </c:pt>
                <c:pt idx="6">
                  <c:v>24.190999999999999</c:v>
                </c:pt>
                <c:pt idx="7">
                  <c:v>24.844999999999999</c:v>
                </c:pt>
                <c:pt idx="8">
                  <c:v>23.995999999999999</c:v>
                </c:pt>
                <c:pt idx="9">
                  <c:v>22.952999999999999</c:v>
                </c:pt>
                <c:pt idx="10">
                  <c:v>23.297000000000001</c:v>
                </c:pt>
                <c:pt idx="11">
                  <c:v>22.297000000000001</c:v>
                </c:pt>
                <c:pt idx="12">
                  <c:v>22.446000000000002</c:v>
                </c:pt>
                <c:pt idx="13">
                  <c:v>22.835000000000001</c:v>
                </c:pt>
                <c:pt idx="14">
                  <c:v>24.472000000000001</c:v>
                </c:pt>
                <c:pt idx="15">
                  <c:v>30.11</c:v>
                </c:pt>
                <c:pt idx="16">
                  <c:v>51.941000000000003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4</c:v>
                </c:pt>
              </c:strCache>
            </c:strRef>
          </c:tx>
          <c:marker>
            <c:symbol val="none"/>
          </c:marker>
          <c:cat>
            <c:numRef>
              <c:f>Sheet1!$A$2:$A$18</c:f>
              <c:numCache>
                <c:formatCode>General</c:formatCode>
                <c:ptCount val="1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</c:numCache>
            </c:numRef>
          </c:cat>
          <c:val>
            <c:numRef>
              <c:f>Sheet1!$D$2:$D$18</c:f>
              <c:numCache>
                <c:formatCode>General</c:formatCode>
                <c:ptCount val="17"/>
                <c:pt idx="0">
                  <c:v>37.582000000000001</c:v>
                </c:pt>
                <c:pt idx="1">
                  <c:v>36.865000000000002</c:v>
                </c:pt>
                <c:pt idx="2">
                  <c:v>25.053000000000001</c:v>
                </c:pt>
                <c:pt idx="3">
                  <c:v>24.86</c:v>
                </c:pt>
                <c:pt idx="4">
                  <c:v>24.457999999999998</c:v>
                </c:pt>
                <c:pt idx="5">
                  <c:v>19.151</c:v>
                </c:pt>
                <c:pt idx="6">
                  <c:v>15.196</c:v>
                </c:pt>
                <c:pt idx="7">
                  <c:v>14.914</c:v>
                </c:pt>
                <c:pt idx="8">
                  <c:v>13.242000000000001</c:v>
                </c:pt>
                <c:pt idx="9">
                  <c:v>12.653</c:v>
                </c:pt>
                <c:pt idx="10">
                  <c:v>13.268000000000001</c:v>
                </c:pt>
                <c:pt idx="11">
                  <c:v>12.048999999999999</c:v>
                </c:pt>
                <c:pt idx="12">
                  <c:v>11.933999999999999</c:v>
                </c:pt>
                <c:pt idx="13">
                  <c:v>12.016</c:v>
                </c:pt>
                <c:pt idx="14">
                  <c:v>12.494</c:v>
                </c:pt>
                <c:pt idx="15">
                  <c:v>14.625</c:v>
                </c:pt>
                <c:pt idx="16">
                  <c:v>23.832999999999998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6</c:v>
                </c:pt>
              </c:strCache>
            </c:strRef>
          </c:tx>
          <c:marker>
            <c:symbol val="none"/>
          </c:marker>
          <c:cat>
            <c:numRef>
              <c:f>Sheet1!$A$2:$A$18</c:f>
              <c:numCache>
                <c:formatCode>General</c:formatCode>
                <c:ptCount val="1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</c:numCache>
            </c:numRef>
          </c:cat>
          <c:val>
            <c:numRef>
              <c:f>Sheet1!$E$2:$E$18</c:f>
              <c:numCache>
                <c:formatCode>General</c:formatCode>
                <c:ptCount val="17"/>
                <c:pt idx="0">
                  <c:v>37.435000000000002</c:v>
                </c:pt>
                <c:pt idx="1">
                  <c:v>37.121000000000002</c:v>
                </c:pt>
                <c:pt idx="2">
                  <c:v>25.013000000000002</c:v>
                </c:pt>
                <c:pt idx="3">
                  <c:v>24.881</c:v>
                </c:pt>
                <c:pt idx="4">
                  <c:v>23.774000000000001</c:v>
                </c:pt>
                <c:pt idx="5">
                  <c:v>18.132999999999999</c:v>
                </c:pt>
                <c:pt idx="6">
                  <c:v>12.557</c:v>
                </c:pt>
                <c:pt idx="7">
                  <c:v>13.941000000000001</c:v>
                </c:pt>
                <c:pt idx="8">
                  <c:v>11.87</c:v>
                </c:pt>
                <c:pt idx="9">
                  <c:v>10.353999999999999</c:v>
                </c:pt>
                <c:pt idx="10">
                  <c:v>10.103999999999999</c:v>
                </c:pt>
                <c:pt idx="11">
                  <c:v>9.4969999999999999</c:v>
                </c:pt>
                <c:pt idx="12">
                  <c:v>9.2080000000000002</c:v>
                </c:pt>
                <c:pt idx="13">
                  <c:v>9.5370000000000008</c:v>
                </c:pt>
                <c:pt idx="14">
                  <c:v>9.4350000000000005</c:v>
                </c:pt>
                <c:pt idx="15">
                  <c:v>10.667</c:v>
                </c:pt>
                <c:pt idx="16">
                  <c:v>18.835999999999999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8</c:v>
                </c:pt>
              </c:strCache>
            </c:strRef>
          </c:tx>
          <c:marker>
            <c:symbol val="none"/>
          </c:marker>
          <c:cat>
            <c:numRef>
              <c:f>Sheet1!$A$2:$A$18</c:f>
              <c:numCache>
                <c:formatCode>General</c:formatCode>
                <c:ptCount val="1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</c:numCache>
            </c:numRef>
          </c:cat>
          <c:val>
            <c:numRef>
              <c:f>Sheet1!$F$2:$F$18</c:f>
              <c:numCache>
                <c:formatCode>General</c:formatCode>
                <c:ptCount val="17"/>
                <c:pt idx="0">
                  <c:v>37.371000000000002</c:v>
                </c:pt>
                <c:pt idx="1">
                  <c:v>36.96</c:v>
                </c:pt>
                <c:pt idx="2">
                  <c:v>25.094000000000001</c:v>
                </c:pt>
                <c:pt idx="3">
                  <c:v>24.943999999999999</c:v>
                </c:pt>
                <c:pt idx="4">
                  <c:v>24.013000000000002</c:v>
                </c:pt>
                <c:pt idx="5">
                  <c:v>18.084</c:v>
                </c:pt>
                <c:pt idx="6">
                  <c:v>12.462</c:v>
                </c:pt>
                <c:pt idx="7">
                  <c:v>12.685</c:v>
                </c:pt>
                <c:pt idx="8">
                  <c:v>10.481</c:v>
                </c:pt>
                <c:pt idx="9">
                  <c:v>9.1010000000000009</c:v>
                </c:pt>
                <c:pt idx="10">
                  <c:v>8.5820000000000007</c:v>
                </c:pt>
                <c:pt idx="11">
                  <c:v>8.5299999999999994</c:v>
                </c:pt>
                <c:pt idx="12">
                  <c:v>7.9</c:v>
                </c:pt>
                <c:pt idx="13">
                  <c:v>8.109</c:v>
                </c:pt>
                <c:pt idx="14">
                  <c:v>8.1549999999999994</c:v>
                </c:pt>
                <c:pt idx="15">
                  <c:v>8.6739999999999995</c:v>
                </c:pt>
                <c:pt idx="16">
                  <c:v>18.585999999999999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12</c:v>
                </c:pt>
              </c:strCache>
            </c:strRef>
          </c:tx>
          <c:marker>
            <c:symbol val="none"/>
          </c:marker>
          <c:cat>
            <c:numRef>
              <c:f>Sheet1!$A$2:$A$18</c:f>
              <c:numCache>
                <c:formatCode>General</c:formatCode>
                <c:ptCount val="1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</c:numCache>
            </c:numRef>
          </c:cat>
          <c:val>
            <c:numRef>
              <c:f>Sheet1!$G$2:$G$18</c:f>
              <c:numCache>
                <c:formatCode>General</c:formatCode>
                <c:ptCount val="17"/>
                <c:pt idx="0">
                  <c:v>37.552</c:v>
                </c:pt>
                <c:pt idx="1">
                  <c:v>37.15</c:v>
                </c:pt>
                <c:pt idx="2">
                  <c:v>25.114999999999998</c:v>
                </c:pt>
                <c:pt idx="3">
                  <c:v>24.963000000000001</c:v>
                </c:pt>
                <c:pt idx="4">
                  <c:v>23.713999999999999</c:v>
                </c:pt>
                <c:pt idx="5">
                  <c:v>18.317</c:v>
                </c:pt>
                <c:pt idx="6">
                  <c:v>12.542</c:v>
                </c:pt>
                <c:pt idx="7">
                  <c:v>12.036</c:v>
                </c:pt>
                <c:pt idx="8">
                  <c:v>10.058999999999999</c:v>
                </c:pt>
                <c:pt idx="9">
                  <c:v>8.8420000000000005</c:v>
                </c:pt>
                <c:pt idx="10">
                  <c:v>8.0449999999999999</c:v>
                </c:pt>
                <c:pt idx="11">
                  <c:v>7.9489999999999998</c:v>
                </c:pt>
                <c:pt idx="12">
                  <c:v>7.367</c:v>
                </c:pt>
                <c:pt idx="13">
                  <c:v>7.3470000000000004</c:v>
                </c:pt>
                <c:pt idx="14">
                  <c:v>7.2160000000000002</c:v>
                </c:pt>
                <c:pt idx="15">
                  <c:v>7.7839999999999998</c:v>
                </c:pt>
                <c:pt idx="16">
                  <c:v>17.335999999999999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16</c:v>
                </c:pt>
              </c:strCache>
            </c:strRef>
          </c:tx>
          <c:marker>
            <c:symbol val="none"/>
          </c:marker>
          <c:cat>
            <c:numRef>
              <c:f>Sheet1!$A$2:$A$18</c:f>
              <c:numCache>
                <c:formatCode>General</c:formatCode>
                <c:ptCount val="1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</c:numCache>
            </c:numRef>
          </c:cat>
          <c:val>
            <c:numRef>
              <c:f>Sheet1!$H$2:$H$18</c:f>
              <c:numCache>
                <c:formatCode>General</c:formatCode>
                <c:ptCount val="17"/>
                <c:pt idx="0">
                  <c:v>37.329000000000001</c:v>
                </c:pt>
                <c:pt idx="1">
                  <c:v>37.183</c:v>
                </c:pt>
                <c:pt idx="2">
                  <c:v>25.113</c:v>
                </c:pt>
                <c:pt idx="3">
                  <c:v>25.042999999999999</c:v>
                </c:pt>
                <c:pt idx="4">
                  <c:v>23.774999999999999</c:v>
                </c:pt>
                <c:pt idx="5">
                  <c:v>17.905999999999999</c:v>
                </c:pt>
                <c:pt idx="6">
                  <c:v>12.461</c:v>
                </c:pt>
                <c:pt idx="7">
                  <c:v>11.927</c:v>
                </c:pt>
                <c:pt idx="8">
                  <c:v>9.734</c:v>
                </c:pt>
                <c:pt idx="9">
                  <c:v>8.6609999999999996</c:v>
                </c:pt>
                <c:pt idx="10">
                  <c:v>7.8579999999999997</c:v>
                </c:pt>
                <c:pt idx="11">
                  <c:v>7.8639999999999999</c:v>
                </c:pt>
                <c:pt idx="12">
                  <c:v>6.9969999999999999</c:v>
                </c:pt>
                <c:pt idx="13">
                  <c:v>6.9059999999999997</c:v>
                </c:pt>
                <c:pt idx="14">
                  <c:v>6.9450000000000003</c:v>
                </c:pt>
                <c:pt idx="15">
                  <c:v>8.31</c:v>
                </c:pt>
                <c:pt idx="16">
                  <c:v>17.888999999999999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>20</c:v>
                </c:pt>
              </c:strCache>
            </c:strRef>
          </c:tx>
          <c:marker>
            <c:symbol val="none"/>
          </c:marker>
          <c:cat>
            <c:numRef>
              <c:f>Sheet1!$A$2:$A$18</c:f>
              <c:numCache>
                <c:formatCode>General</c:formatCode>
                <c:ptCount val="1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</c:numCache>
            </c:numRef>
          </c:cat>
          <c:val>
            <c:numRef>
              <c:f>Sheet1!$I$2:$I$18</c:f>
              <c:numCache>
                <c:formatCode>General</c:formatCode>
                <c:ptCount val="17"/>
                <c:pt idx="0">
                  <c:v>37.341999999999999</c:v>
                </c:pt>
                <c:pt idx="1">
                  <c:v>37.200000000000003</c:v>
                </c:pt>
                <c:pt idx="2">
                  <c:v>25.084</c:v>
                </c:pt>
                <c:pt idx="3">
                  <c:v>24.963999999999999</c:v>
                </c:pt>
                <c:pt idx="4">
                  <c:v>23.73</c:v>
                </c:pt>
                <c:pt idx="5">
                  <c:v>18.097000000000001</c:v>
                </c:pt>
                <c:pt idx="6">
                  <c:v>12.541</c:v>
                </c:pt>
                <c:pt idx="7">
                  <c:v>12.029</c:v>
                </c:pt>
                <c:pt idx="8">
                  <c:v>9.7799999999999994</c:v>
                </c:pt>
                <c:pt idx="9">
                  <c:v>8.6649999999999991</c:v>
                </c:pt>
                <c:pt idx="10">
                  <c:v>7.7619999999999996</c:v>
                </c:pt>
                <c:pt idx="11">
                  <c:v>7.9640000000000004</c:v>
                </c:pt>
                <c:pt idx="12">
                  <c:v>6.9429999999999996</c:v>
                </c:pt>
                <c:pt idx="13">
                  <c:v>6.9960000000000004</c:v>
                </c:pt>
                <c:pt idx="14">
                  <c:v>6.8</c:v>
                </c:pt>
                <c:pt idx="15">
                  <c:v>8.5410000000000004</c:v>
                </c:pt>
                <c:pt idx="16">
                  <c:v>21.731000000000002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146752"/>
        <c:axId val="117148672"/>
      </c:lineChart>
      <c:catAx>
        <c:axId val="11714675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>
                    <a:latin typeface="+mj-lt"/>
                  </a:defRPr>
                </a:pPr>
                <a:r>
                  <a:rPr lang="en-US" sz="1100">
                    <a:latin typeface="+mj-lt"/>
                  </a:rPr>
                  <a:t>Parallel Recursion Depth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17148672"/>
        <c:crosses val="autoZero"/>
        <c:auto val="1"/>
        <c:lblAlgn val="ctr"/>
        <c:lblOffset val="100"/>
        <c:noMultiLvlLbl val="0"/>
      </c:catAx>
      <c:valAx>
        <c:axId val="11714867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100">
                    <a:latin typeface="+mj-lt"/>
                    <a:cs typeface="Times New Roman" pitchFamily="18" charset="0"/>
                  </a:defRPr>
                </a:pPr>
                <a:r>
                  <a:rPr lang="en-US" sz="1100">
                    <a:latin typeface="+mj-lt"/>
                    <a:cs typeface="Times New Roman" pitchFamily="18" charset="0"/>
                  </a:rPr>
                  <a:t>Time (Lower is Better)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1714675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0333991638667317"/>
          <c:y val="0.90825556805399321"/>
          <c:w val="0.64565458633631712"/>
          <c:h val="6.9764347527324397E-2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>
          <a:latin typeface="Calibri" pitchFamily="34" charset="0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Calibri" pitchFamily="34" charset="0"/>
              </a:defRPr>
            </a:pPr>
            <a:r>
              <a:rPr lang="en-US">
                <a:latin typeface="Calibri" pitchFamily="34" charset="0"/>
              </a:rPr>
              <a:t>%</a:t>
            </a:r>
            <a:r>
              <a:rPr lang="en-US" baseline="0">
                <a:latin typeface="Calibri" pitchFamily="34" charset="0"/>
              </a:rPr>
              <a:t> Speed-up at Optimal Parallel Recursion Depth</a:t>
            </a:r>
            <a:endParaRPr lang="en-US">
              <a:latin typeface="Calibri" pitchFamily="34" charset="0"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tx>
          <c:invertIfNegative val="0"/>
          <c:cat>
            <c:strRef>
              <c:f>Sheet1!$B$1:$I$1</c:f>
              <c:strCache>
                <c:ptCount val="8"/>
                <c:pt idx="0">
                  <c:v>1</c:v>
                </c:pt>
                <c:pt idx="1">
                  <c:v>2</c:v>
                </c:pt>
                <c:pt idx="2">
                  <c:v>4</c:v>
                </c:pt>
                <c:pt idx="3">
                  <c:v>6</c:v>
                </c:pt>
                <c:pt idx="4">
                  <c:v>8</c:v>
                </c:pt>
                <c:pt idx="5">
                  <c:v>12</c:v>
                </c:pt>
                <c:pt idx="6">
                  <c:v>16</c:v>
                </c:pt>
                <c:pt idx="7">
                  <c:v>20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100</c:v>
                </c:pt>
                <c:pt idx="1">
                  <c:v>194.3400457460645</c:v>
                </c:pt>
                <c:pt idx="2">
                  <c:v>363.09703368526903</c:v>
                </c:pt>
                <c:pt idx="3">
                  <c:v>470.59079061685492</c:v>
                </c:pt>
                <c:pt idx="4">
                  <c:v>548.50632911392404</c:v>
                </c:pt>
                <c:pt idx="5">
                  <c:v>600.49889135254989</c:v>
                </c:pt>
                <c:pt idx="6">
                  <c:v>627.45438748913989</c:v>
                </c:pt>
                <c:pt idx="7">
                  <c:v>637.23529411764707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5"/>
        <c:overlap val="-25"/>
        <c:axId val="117165440"/>
        <c:axId val="117175808"/>
      </c:barChart>
      <c:catAx>
        <c:axId val="1171654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>
                    <a:latin typeface="+mj-lt"/>
                  </a:defRPr>
                </a:pPr>
                <a:r>
                  <a:rPr lang="en-US" sz="1100">
                    <a:latin typeface="+mj-lt"/>
                  </a:rPr>
                  <a:t># of Threads</a:t>
                </a:r>
              </a:p>
            </c:rich>
          </c:tx>
          <c:overlay val="0"/>
        </c:title>
        <c:majorTickMark val="none"/>
        <c:minorTickMark val="none"/>
        <c:tickLblPos val="nextTo"/>
        <c:crossAx val="117175808"/>
        <c:crosses val="autoZero"/>
        <c:auto val="1"/>
        <c:lblAlgn val="ctr"/>
        <c:lblOffset val="100"/>
        <c:noMultiLvlLbl val="0"/>
      </c:catAx>
      <c:valAx>
        <c:axId val="11717580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100">
                    <a:latin typeface="+mj-lt"/>
                  </a:defRPr>
                </a:pPr>
                <a:r>
                  <a:rPr lang="en-US" sz="1100">
                    <a:latin typeface="+mj-lt"/>
                  </a:rPr>
                  <a:t>% Speed-up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ln w="12000">
            <a:noFill/>
          </a:ln>
        </c:spPr>
        <c:crossAx val="1171654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etro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Metro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Metro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83CEF-82E2-43B1-B000-B34DE1E6D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Lee</dc:creator>
  <cp:lastModifiedBy>Kevin Lee</cp:lastModifiedBy>
  <cp:revision>11</cp:revision>
  <cp:lastPrinted>2012-11-15T23:36:00Z</cp:lastPrinted>
  <dcterms:created xsi:type="dcterms:W3CDTF">2012-11-15T22:42:00Z</dcterms:created>
  <dcterms:modified xsi:type="dcterms:W3CDTF">2012-11-15T23:36:00Z</dcterms:modified>
</cp:coreProperties>
</file>